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2024年度自治区基层政协经费支出绩效评价报告</w:t>
      </w:r>
    </w:p>
    <w:p>
      <w:pPr>
        <w:spacing w:line="700" w:lineRule="exact"/>
        <w:jc w:val="left"/>
        <w:rPr>
          <w:rFonts w:hint="default" w:ascii="Times New Roman" w:hAnsi="Times New Roman" w:eastAsia="仿宋_GB2312" w:cs="Times New Roman"/>
          <w:b/>
          <w:bCs/>
          <w:kern w:val="0"/>
          <w:sz w:val="36"/>
          <w:szCs w:val="36"/>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700" w:lineRule="exact"/>
        <w:ind w:left="2238" w:leftChars="304" w:hanging="1600" w:hangingChars="5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项目名称：伊州财行[2023]41号2024年度自治区基层政协经费</w:t>
      </w:r>
    </w:p>
    <w:p>
      <w:pPr>
        <w:spacing w:line="560" w:lineRule="exact"/>
        <w:ind w:left="3518" w:leftChars="304" w:hanging="2880" w:hangingChars="900"/>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实施单位（公章）：中国人民政治协商会议特克斯县委员会办公室</w:t>
      </w:r>
    </w:p>
    <w:p>
      <w:pPr>
        <w:spacing w:line="560" w:lineRule="exact"/>
        <w:ind w:left="3518" w:leftChars="304" w:hanging="2880" w:hangingChars="900"/>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主管部门（公章）：中国人民政治协商会议特克斯县委员会办公室</w:t>
      </w:r>
    </w:p>
    <w:p>
      <w:pPr>
        <w:spacing w:line="700" w:lineRule="exact"/>
        <w:ind w:firstLine="640" w:firstLineChars="200"/>
        <w:jc w:val="left"/>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rPr>
        <w:t>项目负责人（签章）：</w:t>
      </w:r>
      <w:r>
        <w:rPr>
          <w:rFonts w:hint="eastAsia" w:ascii="仿宋_GB2312" w:hAnsi="仿宋_GB2312" w:eastAsia="仿宋_GB2312" w:cs="仿宋_GB2312"/>
          <w:b w:val="0"/>
          <w:bCs w:val="0"/>
          <w:kern w:val="0"/>
          <w:sz w:val="32"/>
          <w:szCs w:val="32"/>
          <w:lang w:val="en-US" w:eastAsia="zh-CN"/>
        </w:rPr>
        <w:t>李阳</w:t>
      </w:r>
    </w:p>
    <w:p>
      <w:pPr>
        <w:spacing w:line="700" w:lineRule="exact"/>
        <w:ind w:firstLine="640" w:firstLineChars="200"/>
        <w:jc w:val="left"/>
        <w:rPr>
          <w:rFonts w:hint="default" w:ascii="Times New Roman" w:hAnsi="Times New Roman" w:eastAsia="仿宋_GB2312" w:cs="Times New Roman"/>
          <w:kern w:val="0"/>
          <w:sz w:val="30"/>
          <w:szCs w:val="30"/>
        </w:rPr>
      </w:pPr>
      <w:r>
        <w:rPr>
          <w:rFonts w:hint="eastAsia" w:ascii="仿宋_GB2312" w:hAnsi="仿宋_GB2312" w:eastAsia="仿宋_GB2312" w:cs="仿宋_GB2312"/>
          <w:b w:val="0"/>
          <w:bCs w:val="0"/>
          <w:kern w:val="0"/>
          <w:sz w:val="32"/>
          <w:szCs w:val="32"/>
        </w:rPr>
        <w:t>填报时间：</w:t>
      </w:r>
      <w:r>
        <w:rPr>
          <w:rFonts w:hint="eastAsia" w:ascii="仿宋_GB2312" w:hAnsi="仿宋_GB2312" w:eastAsia="仿宋_GB2312" w:cs="仿宋_GB2312"/>
          <w:b w:val="0"/>
          <w:bCs w:val="0"/>
          <w:kern w:val="0"/>
          <w:sz w:val="32"/>
          <w:szCs w:val="32"/>
          <w:lang w:val="en-US" w:eastAsia="zh-CN"/>
        </w:rPr>
        <w:t>2025</w:t>
      </w:r>
      <w:r>
        <w:rPr>
          <w:rFonts w:hint="eastAsia" w:ascii="仿宋_GB2312" w:hAnsi="仿宋_GB2312" w:eastAsia="仿宋_GB2312" w:cs="仿宋_GB2312"/>
          <w:b w:val="0"/>
          <w:bCs w:val="0"/>
          <w:kern w:val="0"/>
          <w:sz w:val="32"/>
          <w:szCs w:val="32"/>
        </w:rPr>
        <w:t>年</w:t>
      </w:r>
      <w:r>
        <w:rPr>
          <w:rFonts w:hint="eastAsia" w:ascii="仿宋_GB2312" w:hAnsi="仿宋_GB2312" w:eastAsia="仿宋_GB2312" w:cs="仿宋_GB2312"/>
          <w:b w:val="0"/>
          <w:bCs w:val="0"/>
          <w:kern w:val="0"/>
          <w:sz w:val="32"/>
          <w:szCs w:val="32"/>
          <w:lang w:val="en-US" w:eastAsia="zh-CN"/>
        </w:rPr>
        <w:t>5</w:t>
      </w:r>
      <w:r>
        <w:rPr>
          <w:rFonts w:hint="eastAsia" w:ascii="仿宋_GB2312" w:hAnsi="仿宋_GB2312" w:eastAsia="仿宋_GB2312" w:cs="仿宋_GB2312"/>
          <w:b w:val="0"/>
          <w:bCs w:val="0"/>
          <w:kern w:val="0"/>
          <w:sz w:val="32"/>
          <w:szCs w:val="32"/>
        </w:rPr>
        <w:t>月</w:t>
      </w:r>
      <w:r>
        <w:rPr>
          <w:rFonts w:hint="eastAsia" w:ascii="仿宋_GB2312" w:hAnsi="仿宋_GB2312" w:eastAsia="仿宋_GB2312" w:cs="仿宋_GB2312"/>
          <w:b w:val="0"/>
          <w:bCs w:val="0"/>
          <w:kern w:val="0"/>
          <w:sz w:val="32"/>
          <w:szCs w:val="32"/>
          <w:lang w:val="en-US" w:eastAsia="zh-CN"/>
        </w:rPr>
        <w:t>15</w:t>
      </w:r>
      <w:r>
        <w:rPr>
          <w:rFonts w:hint="eastAsia" w:ascii="仿宋_GB2312" w:hAnsi="仿宋_GB2312" w:eastAsia="仿宋_GB2312" w:cs="仿宋_GB2312"/>
          <w:b w:val="0"/>
          <w:bCs w:val="0"/>
          <w:kern w:val="0"/>
          <w:sz w:val="32"/>
          <w:szCs w:val="32"/>
        </w:rPr>
        <w:t>日</w:t>
      </w: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widowControl/>
        <w:spacing w:before="0" w:beforeAutospacing="0" w:after="0" w:afterAutospacing="0"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政协是宣传和贯彻执行国家、法律和各项政策，推动社会各界积极参与两个文明建设。对政府、全县国民经济各社会发展规划、县财政预算及爱国统一战线内部关系等重要事物进行政治协商、通过提建议、咨询批评等方式进行民主监督。选举县人民政协委员会主席、副主席各常务委员。听取和审议常务委员会等工作报告。讨论通过有关决议开展调查研究，反映社情民意，进行协商讨论，通过调研报告，提案、建议案或其他形式，向国家机关提出意见和建议。</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360" w:lineRule="auto"/>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kern w:val="2"/>
          <w:sz w:val="32"/>
          <w:szCs w:val="32"/>
          <w:highlight w:val="none"/>
          <w:lang w:val="en-US" w:eastAsia="zh-CN" w:bidi="ar-SA"/>
        </w:rPr>
        <w:t>围绕全县政协委员视察调研，给基层政协搭建“商量书屋”协商议事办公室，购买办公设备，组织政协委员下基层调研，老百姓普遍关心的民生和热点问题，认真履行政协办公室和四个专委会工作，通过组织开展政协相关工作活动，不断提高各界别政协委员的履职工作能力水平。</w:t>
      </w:r>
    </w:p>
    <w:p>
      <w:pPr>
        <w:spacing w:line="560" w:lineRule="exact"/>
        <w:ind w:firstLine="640" w:firstLineChars="20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kern w:val="2"/>
          <w:sz w:val="32"/>
          <w:szCs w:val="32"/>
          <w:highlight w:val="none"/>
          <w:lang w:val="en-US" w:eastAsia="zh-CN" w:bidi="ar-SA"/>
        </w:rPr>
        <w:t>该项目做到有计划、有安排，扎实开展，严格按照项目资金管理办法对资金进行计划申请、划拨、使用，及时、规范对收支进行账务处理和会计核算。在2024年底，该项目全部完成。</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560" w:lineRule="exact"/>
        <w:ind w:firstLine="640" w:firstLineChars="200"/>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该项目年初预算数5万元，全年预算数5万元，实际总投入5万元，该项目资金已全部落实到位，资金来源为财政拨款。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360" w:lineRule="auto"/>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该项目年初预算数5万元，全年预算数5万元，全年执行数5万元，预算执行率为100%，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基层政协补助经费5万元。</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按照每年例行会议要求，进一步提高政协委员和政协干部的政治把握能力和履职能力。收集政协委员关于各类提案特别是，关于社情民意老百姓关心的民生问题，提交县委、政府作为支撑决策参考，更好的解决好老百姓关心的问题。</w:t>
      </w:r>
    </w:p>
    <w:p>
      <w:pPr>
        <w:numPr>
          <w:numId w:val="0"/>
        </w:num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pStyle w:val="2"/>
        <w:numPr>
          <w:ilvl w:val="0"/>
          <w:numId w:val="0"/>
        </w:numPr>
        <w:rPr>
          <w:rFonts w:hint="default"/>
          <w:lang w:val="en-US" w:eastAsia="zh-CN"/>
        </w:rPr>
      </w:pPr>
    </w:p>
    <w:p>
      <w:pPr>
        <w:spacing w:line="360" w:lineRule="auto"/>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（1）前期准备：按照上级拨付经费文件要求，制定基层政协补助资金实施方案，确定工作指标以及预期目标值，按绩效评价三级指标按阶段完成相关工作，经项目负责人审核通过后，有序开展后续工作。</w:t>
      </w:r>
    </w:p>
    <w:p>
      <w:pPr>
        <w:spacing w:line="360" w:lineRule="auto"/>
        <w:ind w:firstLine="640" w:firstLineChars="200"/>
        <w:rPr>
          <w:rFonts w:hint="eastAsia"/>
          <w:lang w:val="en-US" w:eastAsia="zh-CN"/>
        </w:rPr>
      </w:pPr>
      <w:r>
        <w:rPr>
          <w:rFonts w:hint="eastAsia" w:ascii="Times New Roman" w:hAnsi="Times New Roman" w:eastAsia="仿宋_GB2312" w:cs="Times New Roman"/>
          <w:sz w:val="32"/>
          <w:szCs w:val="32"/>
          <w:highlight w:val="none"/>
          <w:lang w:val="en-US" w:eastAsia="zh-CN"/>
        </w:rPr>
        <w:t>（2）组织实施：资金到位后，立即根据项目要求及实施方案内容来实施项目。项目责任人按照总体目标逐一进行项目部署安排，组织政协委员调研、视察，代表培训、提案督办等相关工作，提高项目质量及效率性。</w:t>
      </w:r>
      <w:bookmarkStart w:id="3" w:name="_GoBack"/>
      <w:bookmarkEnd w:id="3"/>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州财行[2023]41号2024年度自治区基层政协经费及其预算执行情况。该项目由中国人民政治协商会议特克斯县委员会办公室负责实施，旨在根据提案报告提出建议意见，有效提升委员的质量和服务社会能力。。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提高政协委员和政协干部的政治把握能力和履职能力。提高政府形象及公信力，更好的解决好老百姓关心的问题。</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本次项目支出绩效自评采用因素分析法，原因是：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spacing w:line="560" w:lineRule="exact"/>
        <w:ind w:firstLine="640" w:firstLineChars="200"/>
        <w:jc w:val="left"/>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kern w:val="28"/>
          <w:sz w:val="32"/>
          <w:szCs w:val="32"/>
          <w:lang w:val="en-US" w:eastAsia="zh-CN" w:bidi="ar-SA"/>
        </w:rPr>
        <w:t>本次项目支出绩效自评采用计划标准和行业标准，原因是：计划标准原因是制定目标、计划、预算、定额等作为评价标准，此项目资金安排流程正式按此格式来完成的。行业标准原因是比较规范的能确保此项目的规范性和安全性。</w:t>
      </w:r>
    </w:p>
    <w:p>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伊州财行[2023]41号2024年度自治区基层政协经费</w:t>
      </w:r>
      <w:r>
        <w:rPr>
          <w:rFonts w:hint="default" w:ascii="Times New Roman" w:hAnsi="Times New Roman" w:eastAsia="仿宋_GB2312" w:cs="Times New Roman"/>
          <w:sz w:val="32"/>
          <w:szCs w:val="32"/>
          <w:highlight w:val="none"/>
        </w:rPr>
        <w:t>在政协委员提案通过率等方面表现出色，达到了预期的标准与要求。同时，项目也在</w:t>
      </w:r>
      <w:r>
        <w:rPr>
          <w:rFonts w:hint="default" w:ascii="Times New Roman" w:hAnsi="Times New Roman" w:eastAsia="仿宋_GB2312" w:cs="Times New Roman"/>
          <w:color w:val="auto"/>
          <w:sz w:val="32"/>
          <w:szCs w:val="32"/>
          <w:highlight w:val="none"/>
        </w:rPr>
        <w:t>会议按期完成率</w:t>
      </w:r>
      <w:r>
        <w:rPr>
          <w:rFonts w:hint="default" w:ascii="Times New Roman" w:hAnsi="Times New Roman" w:eastAsia="仿宋_GB2312" w:cs="Times New Roman"/>
          <w:sz w:val="32"/>
          <w:szCs w:val="32"/>
          <w:highlight w:val="none"/>
        </w:rPr>
        <w:t>取得了显著的成效，如会议出勤率等。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在项目管理方面，中国人民政治协商会议特克斯县委员会办公室通过有效的规划、组织与协调，项目得以顺利实施，并在预算与时间上保持了良好的控制。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从项目效益的角度来看，本项目不仅实现了预期的社会效益等方面产生了积极的影响。具体而言，政协委员提案通过率等方面的提升，为项目的利益相关者带来了实实在在的利益。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综上所述，伊州财行[2023]41号2024年度自治区基层政协经费在绩效评价中表现出色，达到了项目的预期目标，并在多个方面取得了显著的成效。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9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指标1：会议次数 ，指标值：=1次 ，实际完成值：=1次，指标完成率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：参会人数，指标值：&gt;=117人，实际完成值：117人，指标完成率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：会议天数，指标值：&gt;=2.5天，实际完成值：&gt;=2.5天，指标完成率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质量指标：指标1：会议出勤率，指标值：&gt;=95%，实际完成值：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时效指标：指标1：会议按期完成率，指标值：&gt;=100%，实际完成值：100%，指标完成率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成本指标：指标1：会议人均支出，指标值：&lt;=122.89元/天》元 ，实际完成值：122.89元/天》元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：办公经费，指标值：=35621.87元，实际完成值：35621.87元，指标完成率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pStyle w:val="2"/>
        <w:rPr>
          <w:rFonts w:hint="default"/>
        </w:rPr>
      </w:pP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w:t>
      </w:r>
      <w:r>
        <w:rPr>
          <w:rFonts w:hint="default" w:ascii="Times New Roman" w:hAnsi="Times New Roman" w:eastAsia="仿宋_GB2312" w:cs="Times New Roman"/>
          <w:sz w:val="32"/>
          <w:szCs w:val="32"/>
          <w:lang w:val="en-US" w:eastAsia="zh-CN"/>
        </w:rPr>
        <w:t>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社会效益指标：指标1：协委员提案通过率，指标值：&gt;=100%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r>
        <w:rPr>
          <w:rFonts w:hint="default" w:ascii="Times New Roman" w:hAnsi="Times New Roman" w:eastAsia="仿宋_GB2312" w:cs="Times New Roman"/>
          <w:sz w:val="32"/>
          <w:szCs w:val="32"/>
          <w:highlight w:val="none"/>
        </w:rPr>
        <w:t>指标1：各乡镇县直参会人员满意度，指标值：&gt;=98%，实际完成值：98%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无</w:t>
      </w:r>
      <w:r>
        <w:rPr>
          <w:rFonts w:hint="default"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伊州财行[2023]41号2024年度自治区基层政协经费项目年初预算</w:t>
      </w:r>
      <w:r>
        <w:rPr>
          <w:rFonts w:hint="eastAsia" w:ascii="Times New Roman" w:hAnsi="Times New Roman" w:eastAsia="仿宋_GB2312" w:cs="Times New Roman"/>
          <w:kern w:val="2"/>
          <w:sz w:val="32"/>
          <w:szCs w:val="32"/>
          <w:lang w:val="en-US" w:eastAsia="zh-CN" w:bidi="ar-SA"/>
        </w:rPr>
        <w:t>5</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5</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5</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cs="Times New Roman"/>
          <w:sz w:val="22"/>
          <w:szCs w:val="28"/>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3" w:firstLineChars="200"/>
        <w:rPr>
          <w:rFonts w:hint="eastAsia" w:ascii="Times New Roman" w:hAnsi="Times New Roman" w:eastAsia="仿宋_GB2312" w:cs="Times New Roman"/>
          <w:b/>
          <w:bCs/>
          <w:color w:val="FF0000"/>
          <w:sz w:val="32"/>
          <w:szCs w:val="32"/>
          <w:lang w:eastAsia="zh-CN"/>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spacing w:line="700" w:lineRule="exact"/>
        <w:ind w:firstLine="2811" w:firstLineChars="1000"/>
        <w:jc w:val="left"/>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rPr>
        <w:t>2024年度自治区基层政协经费绩效评价指标体系及综合评分表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7" w:type="dxa"/>
            <w:gridSpan w:val="5"/>
            <w:shd w:val="clear" w:color="auto" w:fill="FFFFFF"/>
            <w:vAlign w:val="center"/>
          </w:tcPr>
          <w:p>
            <w:pPr>
              <w:widowControl/>
              <w:spacing w:line="0" w:lineRule="atLeast"/>
              <w:jc w:val="center"/>
              <w:rPr>
                <w:rFonts w:hint="eastAsia"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总分</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100</w:t>
            </w:r>
          </w:p>
        </w:tc>
        <w:tc>
          <w:tcPr>
            <w:tcW w:w="1366" w:type="dxa"/>
            <w:shd w:val="clear" w:color="000000" w:fill="FFFFFF"/>
            <w:vAlign w:val="center"/>
          </w:tcPr>
          <w:p>
            <w:pPr>
              <w:widowControl/>
              <w:spacing w:line="0" w:lineRule="atLeast"/>
              <w:jc w:val="center"/>
              <w:rPr>
                <w:rFonts w:hint="default"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伊州财行[2023]41号2024年度自治区基层政协经费</w:t>
            </w:r>
            <w:r>
              <w:rPr>
                <w:rFonts w:hint="default" w:ascii="仿宋_GB2312" w:hAnsi="仿宋_GB2312" w:eastAsia="仿宋_GB2312" w:cs="仿宋_GB2312"/>
                <w:i w:val="0"/>
                <w:iCs w:val="0"/>
                <w:color w:val="000000"/>
                <w:kern w:val="0"/>
                <w:sz w:val="18"/>
                <w:szCs w:val="18"/>
                <w:u w:val="none"/>
                <w:lang w:val="en-US" w:eastAsia="zh-CN" w:bidi="ar"/>
              </w:rPr>
              <w:t xml:space="preserve"> </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中国人民政治协商会议特克斯县委员会办公室</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按照每年例行会议要求，进一步提高政协委员和政协干部的政治把握能力和履职能力。收集政协委员关于各类提案特别是，关于社情民意老百姓关心的民生问题，提交县委、政府作为支撑决策参考，更好的解决好老百姓关心的问题。</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为更好地完成政协会议各项工作，按照年初工作计划，办公费5万元，为召开中国人民政治协商会议特克斯县第十六届委员会第三次会议。听取和审议政协特克斯县第十六届常务委员会工作报告、根据提案报告提出建议意见，有效提升委员的质量和服务社会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5"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会议次数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参会人数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&gt;=117人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ascii="宋体" w:hAnsi="宋体" w:eastAsia="宋体" w:cs="宋体"/>
                <w:sz w:val="18"/>
                <w:szCs w:val="18"/>
              </w:rPr>
              <w:t>≥200人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117人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会议天数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&gt;=2.5天</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ascii="宋体" w:hAnsi="宋体" w:eastAsia="宋体" w:cs="宋体"/>
                <w:sz w:val="18"/>
                <w:szCs w:val="18"/>
              </w:rPr>
              <w:t>&gt;=2.5天</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2.5天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会议出勤率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&gt;=95%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会议按期完成率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会议人均支出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&lt;=122.89元/天》</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=100元/天</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122.89元/天</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社会成本指标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=35621.87元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35621.87元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政协委员提案通过率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各乡镇县直参会人员满意度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&gt;=98%</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8"/>
                <w:szCs w:val="18"/>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98%</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91</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sz w:val="18"/>
          <w:szCs w:val="18"/>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01DCA"/>
    <w:multiLevelType w:val="singleLevel"/>
    <w:tmpl w:val="E1601DCA"/>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1C855FD"/>
    <w:rsid w:val="02510197"/>
    <w:rsid w:val="03EC461B"/>
    <w:rsid w:val="052401F0"/>
    <w:rsid w:val="07397B77"/>
    <w:rsid w:val="0AD007F3"/>
    <w:rsid w:val="0D923F20"/>
    <w:rsid w:val="0E3C619F"/>
    <w:rsid w:val="100F38EC"/>
    <w:rsid w:val="11170296"/>
    <w:rsid w:val="129C0A75"/>
    <w:rsid w:val="12C66037"/>
    <w:rsid w:val="12CD1ABC"/>
    <w:rsid w:val="13471461"/>
    <w:rsid w:val="13705A8F"/>
    <w:rsid w:val="13B90F01"/>
    <w:rsid w:val="155E4C4D"/>
    <w:rsid w:val="181066D2"/>
    <w:rsid w:val="1C671E73"/>
    <w:rsid w:val="1D322C47"/>
    <w:rsid w:val="1DE8022A"/>
    <w:rsid w:val="1E3D078F"/>
    <w:rsid w:val="1ECA74CD"/>
    <w:rsid w:val="204037F6"/>
    <w:rsid w:val="23616034"/>
    <w:rsid w:val="23696C97"/>
    <w:rsid w:val="24480FA2"/>
    <w:rsid w:val="25227A45"/>
    <w:rsid w:val="26AC3A6A"/>
    <w:rsid w:val="286602F8"/>
    <w:rsid w:val="2B9D7E25"/>
    <w:rsid w:val="2C7C7A3B"/>
    <w:rsid w:val="2F364819"/>
    <w:rsid w:val="2FD63906"/>
    <w:rsid w:val="306727B3"/>
    <w:rsid w:val="309D3BEB"/>
    <w:rsid w:val="32F82AAB"/>
    <w:rsid w:val="37215DAE"/>
    <w:rsid w:val="38CA40DD"/>
    <w:rsid w:val="395F2B56"/>
    <w:rsid w:val="3A525E8B"/>
    <w:rsid w:val="3B154DEB"/>
    <w:rsid w:val="3BBA0580"/>
    <w:rsid w:val="3BECE841"/>
    <w:rsid w:val="3CDE204C"/>
    <w:rsid w:val="3D363C36"/>
    <w:rsid w:val="3E9C3F6D"/>
    <w:rsid w:val="3FF7797D"/>
    <w:rsid w:val="46690BD8"/>
    <w:rsid w:val="49F70BF1"/>
    <w:rsid w:val="4AA7321F"/>
    <w:rsid w:val="4B4340EE"/>
    <w:rsid w:val="503D507A"/>
    <w:rsid w:val="51FA74D0"/>
    <w:rsid w:val="52761531"/>
    <w:rsid w:val="52AA4A52"/>
    <w:rsid w:val="57EA3EC9"/>
    <w:rsid w:val="59943D66"/>
    <w:rsid w:val="59E051FD"/>
    <w:rsid w:val="59E6355E"/>
    <w:rsid w:val="5B821531"/>
    <w:rsid w:val="5BFF6039"/>
    <w:rsid w:val="5CB9487C"/>
    <w:rsid w:val="5CC92E71"/>
    <w:rsid w:val="5D76A616"/>
    <w:rsid w:val="5D7F20B9"/>
    <w:rsid w:val="5DAC7D0E"/>
    <w:rsid w:val="5F98B5AF"/>
    <w:rsid w:val="5FFE8511"/>
    <w:rsid w:val="5FFEACE2"/>
    <w:rsid w:val="60457FA4"/>
    <w:rsid w:val="609D5BF6"/>
    <w:rsid w:val="61073070"/>
    <w:rsid w:val="61B9080E"/>
    <w:rsid w:val="61DF3FED"/>
    <w:rsid w:val="63AD7228"/>
    <w:rsid w:val="642B176B"/>
    <w:rsid w:val="643EE26D"/>
    <w:rsid w:val="656019A0"/>
    <w:rsid w:val="65F242EE"/>
    <w:rsid w:val="666D7E19"/>
    <w:rsid w:val="68376930"/>
    <w:rsid w:val="68F91E38"/>
    <w:rsid w:val="693578A9"/>
    <w:rsid w:val="6B3158B9"/>
    <w:rsid w:val="6BA02A3F"/>
    <w:rsid w:val="6C1E5A53"/>
    <w:rsid w:val="6C843D28"/>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note text"/>
    <w:basedOn w:val="1"/>
    <w:semiHidden/>
    <w:unhideWhenUsed/>
    <w:qFormat/>
    <w:uiPriority w:val="99"/>
    <w:pPr>
      <w:snapToGrid w:val="0"/>
      <w:jc w:val="left"/>
    </w:pPr>
    <w:rPr>
      <w:sz w:val="18"/>
      <w:szCs w:val="18"/>
    </w:r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11547</Words>
  <Characters>11853</Characters>
  <Lines>58</Lines>
  <Paragraphs>16</Paragraphs>
  <TotalTime>13</TotalTime>
  <ScaleCrop>false</ScaleCrop>
  <LinksUpToDate>false</LinksUpToDate>
  <CharactersWithSpaces>11936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2025-07-21T03:54:42Z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eyJoZGlkIjoiMTk4ZjMzZTkxMDUzOWUwYzQ4OTViM2UwODBmYmY3N2QifQ==</vt:lpwstr>
  </property>
</Properties>
</file>